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sz w:val="24"/>
          <w:szCs w:val="24"/>
          <w:lang w:eastAsia="ru-RU"/>
        </w:rPr>
      </w:pPr>
    </w:p>
    <w:p>
      <w:pPr>
        <w:spacing w:after="0" w:line="240" w:lineRule="auto"/>
        <w:jc w:val="center"/>
        <w:rPr>
          <w:rFonts w:ascii="Times New Roman" w:hAnsi="Times New Roman"/>
          <w:b/>
          <w:sz w:val="24"/>
          <w:szCs w:val="24"/>
          <w:lang w:eastAsia="ru-RU"/>
        </w:rPr>
      </w:pPr>
    </w:p>
    <w:p>
      <w:pPr>
        <w:spacing w:after="0" w:line="240" w:lineRule="auto"/>
        <w:jc w:val="center"/>
        <w:rPr>
          <w:rFonts w:ascii="Times New Roman" w:hAnsi="Times New Roman"/>
          <w:b/>
          <w:sz w:val="24"/>
          <w:szCs w:val="24"/>
          <w:lang w:eastAsia="ru-RU"/>
        </w:rPr>
      </w:pPr>
      <w:bookmarkStart w:id="0" w:name="_GoBack"/>
      <w:bookmarkEnd w:id="0"/>
    </w:p>
    <w:p>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ПОВІДОМЛЕННЯ</w:t>
      </w:r>
    </w:p>
    <w:p>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 проведення позачергових загальних зборів акціонерів акціонерного товариства «ОПЕРАТОР ГАЗОРОЗПОДІЛЬНОЇ СИСТЕМИ «ЧЕРКАСИГАЗ»</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sz w:val="24"/>
          <w:szCs w:val="24"/>
          <w:lang w:eastAsia="ru-RU"/>
        </w:rPr>
        <w:t xml:space="preserve">Акціонерне товариство «ОПЕРАТОР ГАЗОРОЗПОДІЛЬНОЇ СИСТЕМИ «ЧЕРКАСИГАЗ» (надалі – «Товариство»), місцезнаходження якого: </w:t>
      </w:r>
      <w:r>
        <w:rPr>
          <w:rStyle w:val="5"/>
          <w:rFonts w:ascii="Times New Roman" w:hAnsi="Times New Roman"/>
          <w:b w:val="0"/>
          <w:bCs w:val="0"/>
          <w:sz w:val="24"/>
          <w:szCs w:val="24"/>
        </w:rPr>
        <w:t>вул. Максима Залізняка, будинок 142, м. Черкаси, Україна, 18028</w:t>
      </w:r>
      <w:r>
        <w:rPr>
          <w:rFonts w:ascii="Times New Roman" w:hAnsi="Times New Roman"/>
          <w:sz w:val="24"/>
          <w:szCs w:val="24"/>
          <w:lang w:eastAsia="ru-RU"/>
        </w:rPr>
        <w:t xml:space="preserve">, </w:t>
      </w:r>
      <w:r>
        <w:rPr>
          <w:rFonts w:ascii="Times New Roman" w:hAnsi="Times New Roman"/>
          <w:color w:val="000000"/>
          <w:sz w:val="24"/>
          <w:szCs w:val="24"/>
          <w:shd w:val="clear" w:color="auto" w:fill="FFFFFF"/>
        </w:rPr>
        <w:t>повідомляє, що 12 грудня 2022 року дистанційно відбудуться позачергові загальні збори акціонерів Товариства (далі - загальні збори).</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Як повідомляється у вимозі про проведення позачергових загальних зборів акціонерів: «Ухвалою Печерського районного суду міста Києва від 24.05.2022 №757/11783/22-к передано в управління Національному агентству України з питань виявлення, розшуку та управління активами, одержаними від корупційних та інших злочинів наступне майно, а саме:</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Корпоративні права, що належать на праві власності ТОВ «МТК» (ідентифікаційний код 32851967), а саме: цінні папери – акції, вид цінного паперу 01110100 (акція проста бездокументарна іменна) міжнародний ідентифікаційний номер UA4000152839б емітовані АКЦІОНЕРНИМ ТОВАРИСТВОМ «ОПЕРАТОР ГАЗОРОЗПОДІЛЬНОЇ СИСТЕМИ «ЧЕРКАСИГАЗ» (ідентифікаційний код 03361402) у кількості 22 430 608 штук номінальною вартістю 0,27 грн кожна (депозитарна установа – Публічне акціонерне товариство «Банк «КЛІРИНГОВИЙ ДІМ», ідентифікаційний код 21665382), що належать ТОВ «МТК» (ідентифікаційний код 32851967) та становлять 15,8111% від загальної кількості простих іменних акцій Товариства, на які ухвалою слідчого судді Печерського районного суду м. Києва від 17.05.2022 по спра</w:t>
      </w:r>
      <w:r>
        <w:rPr>
          <w:rFonts w:ascii="Times New Roman" w:hAnsi="Times New Roman"/>
          <w:color w:val="000000"/>
          <w:sz w:val="24"/>
          <w:szCs w:val="24"/>
          <w:shd w:val="clear" w:color="auto" w:fill="FFFFFF"/>
          <w:lang w:val="uk-UA"/>
        </w:rPr>
        <w:t>ві</w:t>
      </w:r>
      <w:r>
        <w:rPr>
          <w:rFonts w:hint="default"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rPr>
        <w:t>757/11188/22-к накладено арешт.</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 метою запобігання ризику виникнення надзвичайної ситуації в енергетичній сфері, відповідно до статті 21</w:t>
      </w:r>
      <w:r>
        <w:rPr>
          <w:rFonts w:ascii="Times New Roman" w:hAnsi="Times New Roman"/>
          <w:color w:val="000000"/>
          <w:sz w:val="24"/>
          <w:szCs w:val="24"/>
          <w:shd w:val="clear" w:color="auto" w:fill="FFFFFF"/>
          <w:vertAlign w:val="superscript"/>
        </w:rPr>
        <w:t xml:space="preserve">1 </w:t>
      </w:r>
      <w:r>
        <w:rPr>
          <w:rFonts w:ascii="Times New Roman" w:hAnsi="Times New Roman"/>
          <w:color w:val="000000"/>
          <w:sz w:val="24"/>
          <w:szCs w:val="24"/>
          <w:shd w:val="clear" w:color="auto" w:fill="FFFFFF"/>
        </w:rPr>
        <w:t>Закону України «Про національне агентство України з питань виявлення, розшуку та управління активами, одержаними від корупційних та інших злочинів» розпорядженням Кабінету Міністрів України від 28.05.2022 №429-р прийнято рішення щодо передачі в управління акціонерному</w:t>
      </w:r>
      <w:r>
        <w:t xml:space="preserve"> </w:t>
      </w:r>
      <w:r>
        <w:rPr>
          <w:rFonts w:ascii="Times New Roman" w:hAnsi="Times New Roman"/>
          <w:color w:val="000000"/>
          <w:sz w:val="24"/>
          <w:szCs w:val="24"/>
          <w:shd w:val="clear" w:color="auto" w:fill="FFFFFF"/>
        </w:rPr>
        <w:t>товариству «Державне акціонерне товариство «Чорноморнафтогаз» (ідентифікаційний код 00153117) активів, на які накладено арешт у кримінальному провадженні.</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05.07.2022 між акціонерним товариством «Державне акціонерне товариство «Чорноморнафтогаз» (далі – ДАТ «Чорноморнафтогаз або Управитель) та Національним агентством України з питань виявлення, розшуку та управління активами, одержаними від корупційних та інших злочинів укладено договір управління активами (майном) №11/2022 (далі – Договір). </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Згідно з Договором ДАТ «Чорноморнафтогаз» отримало в управління прості іменні акції АТ «ЧЕРКАСИГАЗ» (ідентифікаційний код 03361402), в тому числі 22 430 608 штук простих іменних акцій, власником яких є ТОВ «МТК», що становить 15,8111% від загальної кількості простих іменних акцій Товариства.</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Відповідно до пункту 1.3. Договору, Управитель набуває повноваження щодо реалізації прав на цінні папери та прав за цінними паперами з дати укладання Договору.</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Згідно з підпунктом 4.3.2 пункту 4.3 Договору, Управитель має право здійснювати повноваження та мати всі права власника активів та акціонера юридичних осіб, корпоративні права яких передаються в управління, реалізовувати права акціонера, визначені статтею 25 Закону України «Про акціонерні товариства».</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Відповідно до рішення Національної комісії з цінних паперів та фондового ринку України «Щодо особливостей проведення загальних зборів акціонерів та загальних зборів учасників корпоративного інвестиційного фонду на період дії воєнного стану» від 19.09.2022 року №1183, у період дії воєнного стану загальні збори акціонерів акціонерного товариства можуть бути проведені виключно шляхом дистанційного проведення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України від 16.04.2020 року №196 (із змінами, далі – Тимчасовий порядок).</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Відповідно до підпункти 4.3.2 пункту 4.3 Договору, статей 25, 47 Закону України «Про акціонерні товариства», пунктів 27, 30 Тимчасового порядку, підпункти 9.14.1.4. пункту 9.14 Статуту АТ «ЧЕРКАСИГАЗ», з метою запобігання ризику виникнення надзвичайної ситуації в енергетичній сфері та забезпечення належного виконання умов Договору акціонерне</w:t>
      </w:r>
      <w:r>
        <w:t xml:space="preserve"> </w:t>
      </w:r>
      <w:r>
        <w:rPr>
          <w:rFonts w:ascii="Times New Roman" w:hAnsi="Times New Roman"/>
          <w:color w:val="000000"/>
          <w:sz w:val="24"/>
          <w:szCs w:val="24"/>
          <w:shd w:val="clear" w:color="auto" w:fill="FFFFFF"/>
        </w:rPr>
        <w:t>товариство «Державне акціонерне товариство «Чорноморнафтогаз» (ідентифікаційний код 00153117) вимагає скликати позачергові загальні збори акціонерів АТ «ЧЕРКАСИГАЗ», які провести дистанційно у порядку, встановленому Тимчасовим порядком.»</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 зв`язку з ненаданням акціонерним</w:t>
      </w:r>
      <w:r>
        <w:t xml:space="preserve"> </w:t>
      </w:r>
      <w:r>
        <w:rPr>
          <w:rFonts w:ascii="Times New Roman" w:hAnsi="Times New Roman"/>
          <w:color w:val="000000"/>
          <w:sz w:val="24"/>
          <w:szCs w:val="24"/>
          <w:shd w:val="clear" w:color="auto" w:fill="FFFFFF"/>
        </w:rPr>
        <w:t>товариством «Державне акціонерне товариство «Чорноморнафтогаз» проектів документів, що пропонуються винести на розгляд загальних зборів акціонерів (Статут Товариства в новій редакції, Положення про Наглядову раду, про Правління, про Загальні збори акціонерів, про Ревізійну комісію, проекти цивільно-правових договорів с членами Наглядової ради та Ревізійної комісії), Наглядова рада не мала можливості їх розгляду.</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Реєстрація акціонерів та їх представників для участі у загальних зборах відбуватиметься відповідно до переліку акціонерів, які мають право на участь у загальних зборах, складеного станом на 24.00 годину 06 грудня 2022 року.</w:t>
      </w:r>
    </w:p>
    <w:p>
      <w:pPr>
        <w:shd w:val="clear" w:color="auto" w:fill="FFFFFF"/>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Бюлетені для голосування будуть розміщені 22.11.2022 р. та 08.12.2022 р. (комулятивне голосування) на веб-сайті </w:t>
      </w:r>
      <w:r>
        <w:rPr>
          <w:rStyle w:val="5"/>
          <w:rFonts w:ascii="Times New Roman" w:hAnsi="Times New Roman"/>
          <w:b w:val="0"/>
          <w:bCs w:val="0"/>
          <w:sz w:val="24"/>
          <w:szCs w:val="24"/>
        </w:rPr>
        <w:t>http://www.chergas.ck.ua</w:t>
      </w:r>
      <w:r>
        <w:rPr>
          <w:rFonts w:ascii="Times New Roman" w:hAnsi="Times New Roman"/>
          <w:bCs/>
          <w:sz w:val="24"/>
          <w:szCs w:val="24"/>
        </w:rPr>
        <w:t xml:space="preserve"> у вільному доступі.</w:t>
      </w:r>
    </w:p>
    <w:p>
      <w:pPr>
        <w:shd w:val="clear" w:color="auto" w:fill="FFFFFF"/>
        <w:spacing w:after="0" w:line="240" w:lineRule="auto"/>
        <w:ind w:firstLine="567"/>
        <w:jc w:val="both"/>
        <w:rPr>
          <w:rFonts w:ascii="Times New Roman" w:hAnsi="Times New Roman"/>
          <w:bCs/>
          <w:sz w:val="24"/>
          <w:szCs w:val="24"/>
        </w:rPr>
      </w:pPr>
      <w:r>
        <w:rPr>
          <w:rFonts w:ascii="Times New Roman" w:hAnsi="Times New Roman"/>
          <w:bCs/>
          <w:sz w:val="24"/>
          <w:szCs w:val="24"/>
        </w:rPr>
        <w:t>Реєстрація учасників Загальних зборів Товариства буде здійснюватися Реєстраційною комісією Товариства на підставі документів, отриманих від Центрального депозитарія відповідно до Розділу XIV Тимчасового порядку.</w:t>
      </w:r>
    </w:p>
    <w:p>
      <w:pPr>
        <w:shd w:val="clear" w:color="auto" w:fill="FFFFFF"/>
        <w:spacing w:after="0" w:line="240" w:lineRule="auto"/>
        <w:ind w:firstLine="567"/>
        <w:jc w:val="both"/>
        <w:rPr>
          <w:rFonts w:ascii="Times New Roman" w:hAnsi="Times New Roman"/>
          <w:bCs/>
          <w:sz w:val="24"/>
          <w:szCs w:val="24"/>
        </w:rPr>
      </w:pPr>
      <w:r>
        <w:rPr>
          <w:rFonts w:ascii="Times New Roman" w:hAnsi="Times New Roman"/>
          <w:bCs/>
          <w:sz w:val="24"/>
          <w:szCs w:val="24"/>
        </w:rPr>
        <w:t>Загальні збори Товариства відбудуться у відповідності до вимог законодавства (зокрема, Закону України «Про акціонерні товариства», Тимчасового порядку, Регламенту провадження депозитарної діяльності Центрального депозитарію цінних паперів) та Статуту Товариства</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bCs/>
          <w:sz w:val="24"/>
          <w:szCs w:val="24"/>
        </w:rPr>
        <w:t>Акціонери мають права, що передбачені чинним законодавством України у визначені строки. 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акціонерів, а щодо кандидатів до складу органів акціонерного товариства - не пізніше ніж за 7 днів до дати проведення загальних зборів акціонерів</w:t>
      </w:r>
      <w:r>
        <w:rPr>
          <w:rFonts w:ascii="Times New Roman" w:hAnsi="Times New Roman"/>
          <w:color w:val="000000"/>
          <w:sz w:val="24"/>
          <w:szCs w:val="24"/>
          <w:shd w:val="clear" w:color="auto" w:fill="FFFFFF"/>
        </w:rPr>
        <w:t>.</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 cin_paper@chergas.ck.ua.</w:t>
      </w:r>
    </w:p>
    <w:p>
      <w:pPr>
        <w:shd w:val="clear" w:color="auto" w:fill="FFFFFF"/>
        <w:spacing w:after="0" w:line="240" w:lineRule="auto"/>
        <w:ind w:firstLine="567"/>
        <w:jc w:val="both"/>
        <w:rPr>
          <w:rFonts w:ascii="Times New Roman" w:hAnsi="Times New Roman"/>
          <w:bCs/>
          <w:sz w:val="24"/>
          <w:szCs w:val="24"/>
        </w:rPr>
      </w:pPr>
      <w:r>
        <w:rPr>
          <w:rFonts w:ascii="Times New Roman" w:hAnsi="Times New Roman"/>
          <w:bCs/>
          <w:sz w:val="24"/>
          <w:szCs w:val="24"/>
        </w:rPr>
        <w:t>Пропозиції подаються в письмовій формі та мають містити прізвище, ім’я, по батькові або найменування акціонера(ів), який її вносить, кількість та тип належних йому акцій Товариства, запропоноване питання для включення до проекту порядку денного з проектом рішення та/або проект рішення до питання, включеного до проекту порядку денного, а також кількість та тип акцій, що належать кожному кандидату, який пропонується до складу органів Товариства.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незалежним директором. Акціонери мають право у встановлений чинним законодавством України строк оскаржувати до суду рішення про відмову у включенні їх пропозицій до проекту порядку денного загальних зборів.</w:t>
      </w:r>
    </w:p>
    <w:p>
      <w:pPr>
        <w:shd w:val="clear" w:color="auto" w:fill="FFFFFF"/>
        <w:spacing w:after="0" w:line="240" w:lineRule="auto"/>
        <w:ind w:firstLine="567"/>
        <w:jc w:val="both"/>
        <w:rPr>
          <w:rFonts w:ascii="Times New Roman" w:hAnsi="Times New Roman"/>
          <w:bCs/>
          <w:sz w:val="24"/>
          <w:szCs w:val="24"/>
        </w:rPr>
      </w:pPr>
      <w:r>
        <w:rPr>
          <w:rFonts w:ascii="Times New Roman" w:hAnsi="Times New Roman"/>
          <w:bCs/>
          <w:sz w:val="24"/>
          <w:szCs w:val="24"/>
        </w:rPr>
        <w:t>Перелік документів, що має надати акціонер (представник акціонера) для його участі у загальних зборах:</w:t>
      </w:r>
    </w:p>
    <w:p>
      <w:pPr>
        <w:spacing w:after="0" w:line="240" w:lineRule="auto"/>
        <w:ind w:firstLine="567"/>
        <w:jc w:val="both"/>
        <w:rPr>
          <w:rFonts w:ascii="Times New Roman" w:hAnsi="Times New Roman" w:eastAsia="Times New Roman"/>
          <w:color w:val="000000"/>
          <w:sz w:val="24"/>
          <w:szCs w:val="24"/>
          <w:lang w:eastAsia="uk-UA"/>
        </w:rPr>
      </w:pPr>
      <w:r>
        <w:rPr>
          <w:rFonts w:ascii="Times New Roman" w:hAnsi="Times New Roman" w:eastAsia="Times New Roman"/>
          <w:color w:val="000000"/>
          <w:sz w:val="24"/>
          <w:szCs w:val="24"/>
          <w:lang w:eastAsia="uk-UA"/>
        </w:rPr>
        <w:t>Фізичні особи – паспорт або документ, що посвідчує особу, та дозволяє визначити громадянство акціонера та письмове запевнення, що фізична особа не має іншого громадянства.</w:t>
      </w:r>
    </w:p>
    <w:p>
      <w:pPr>
        <w:spacing w:after="0" w:line="240" w:lineRule="auto"/>
        <w:ind w:firstLine="567"/>
        <w:jc w:val="both"/>
        <w:rPr>
          <w:rFonts w:ascii="Times New Roman" w:hAnsi="Times New Roman" w:eastAsia="Times New Roman"/>
          <w:color w:val="000000"/>
          <w:sz w:val="24"/>
          <w:szCs w:val="24"/>
          <w:lang w:eastAsia="uk-UA"/>
        </w:rPr>
      </w:pPr>
      <w:r>
        <w:rPr>
          <w:rFonts w:ascii="Times New Roman" w:hAnsi="Times New Roman" w:eastAsia="Times New Roman"/>
          <w:color w:val="000000"/>
          <w:sz w:val="24"/>
          <w:szCs w:val="24"/>
          <w:lang w:eastAsia="uk-UA"/>
        </w:rPr>
        <w:t>Юридичні особи – оригінал або нотаріально засвідчену копію документа про державну реєстрацію, що дозволяє визначити країну державної реєстрації юридичної особи та її учасників/акціонерів/кінцевих бенефіціарів; Нотаріально посвідчені паспорти учасників/акціонерів/кінцевих бенефіціарів юридичної особи, керівника юридичної особи, що дозволяють визначити громадянство цих осіб та письмове запевнення, що вказані особи не мають іншого громадянства. У випадку, якщо участь у зборах приймає представник – фізична або юридична особа, представники, окрім документів, що надають права представляти акціонерів на зборах акціонерів, надають такі самі документи також і для встановлення власної особи, правоздатності та громадянства.</w:t>
      </w:r>
    </w:p>
    <w:p>
      <w:pPr>
        <w:spacing w:after="0" w:line="240" w:lineRule="auto"/>
        <w:ind w:firstLine="567"/>
        <w:jc w:val="both"/>
        <w:rPr>
          <w:rFonts w:ascii="Times New Roman" w:hAnsi="Times New Roman"/>
          <w:sz w:val="24"/>
          <w:szCs w:val="24"/>
        </w:rPr>
      </w:pPr>
      <w:r>
        <w:rPr>
          <w:rFonts w:ascii="Times New Roman" w:hAnsi="Times New Roman" w:eastAsia="Times New Roman"/>
          <w:color w:val="000000"/>
          <w:sz w:val="24"/>
          <w:szCs w:val="24"/>
          <w:lang w:eastAsia="uk-UA"/>
        </w:rPr>
        <w:t xml:space="preserve">Всі акціонери та їх представники при поданні бюлетенів та документів, що підтверджують повноваження, мають керуватись вимогами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що затверджений рішенням НКЦПФР від 16.04.2020 № 196. </w:t>
      </w:r>
      <w:r>
        <w:rPr>
          <w:rFonts w:ascii="Times New Roman" w:hAnsi="Times New Roman"/>
          <w:sz w:val="24"/>
          <w:szCs w:val="24"/>
        </w:rPr>
        <w:t>Акціонер має право видати довіреність на право участі та голосування на загальних зборах декільком своїм представникам.</w:t>
      </w:r>
    </w:p>
    <w:p>
      <w:pPr>
        <w:spacing w:after="0" w:line="240" w:lineRule="auto"/>
        <w:ind w:firstLine="567"/>
        <w:jc w:val="both"/>
        <w:rPr>
          <w:rFonts w:ascii="Times New Roman" w:hAnsi="Times New Roman"/>
          <w:sz w:val="24"/>
          <w:szCs w:val="24"/>
        </w:rPr>
      </w:pPr>
      <w:r>
        <w:rPr>
          <w:rFonts w:ascii="Times New Roman" w:hAnsi="Times New Roman"/>
          <w:sz w:val="24"/>
          <w:szCs w:val="24"/>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pPr>
        <w:spacing w:after="0" w:line="240" w:lineRule="auto"/>
        <w:ind w:firstLine="567"/>
        <w:jc w:val="both"/>
        <w:rPr>
          <w:rFonts w:ascii="Times New Roman" w:hAnsi="Times New Roman"/>
          <w:sz w:val="24"/>
          <w:szCs w:val="24"/>
        </w:rPr>
      </w:pPr>
      <w:r>
        <w:rPr>
          <w:rFonts w:ascii="Times New Roman" w:hAnsi="Times New Roman"/>
          <w:sz w:val="24"/>
          <w:szCs w:val="24"/>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pPr>
        <w:spacing w:after="0" w:line="240" w:lineRule="auto"/>
        <w:ind w:firstLine="567"/>
        <w:jc w:val="both"/>
        <w:rPr>
          <w:rFonts w:ascii="Times New Roman" w:hAnsi="Times New Roman"/>
          <w:sz w:val="24"/>
          <w:szCs w:val="24"/>
        </w:rPr>
      </w:pPr>
      <w:r>
        <w:rPr>
          <w:rFonts w:ascii="Times New Roman" w:hAnsi="Times New Roman"/>
          <w:sz w:val="24"/>
          <w:szCs w:val="24"/>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pPr>
        <w:spacing w:after="0" w:line="240" w:lineRule="auto"/>
        <w:ind w:firstLine="567"/>
        <w:jc w:val="both"/>
        <w:rPr>
          <w:rFonts w:ascii="Times New Roman" w:hAnsi="Times New Roman"/>
          <w:sz w:val="24"/>
          <w:szCs w:val="24"/>
        </w:rPr>
      </w:pPr>
      <w:r>
        <w:rPr>
          <w:rFonts w:ascii="Times New Roman" w:hAnsi="Times New Roman"/>
          <w:sz w:val="24"/>
          <w:szCs w:val="24"/>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pPr>
        <w:spacing w:after="0" w:line="240" w:lineRule="auto"/>
        <w:ind w:firstLine="567"/>
        <w:jc w:val="both"/>
        <w:rPr>
          <w:rFonts w:ascii="Times New Roman" w:hAnsi="Times New Roman"/>
          <w:bCs/>
          <w:sz w:val="24"/>
          <w:szCs w:val="24"/>
        </w:rPr>
      </w:pPr>
      <w:r>
        <w:rPr>
          <w:rFonts w:ascii="Times New Roman" w:hAnsi="Times New Roman"/>
          <w:sz w:val="24"/>
          <w:szCs w:val="24"/>
        </w:rPr>
        <w:t>Представник акціонера голосує</w:t>
      </w:r>
      <w:r>
        <w:rPr>
          <w:rFonts w:ascii="Times New Roman" w:hAnsi="Times New Roman"/>
          <w:bCs/>
          <w:sz w:val="24"/>
          <w:szCs w:val="24"/>
        </w:rPr>
        <w:t xml:space="preserve"> на загальних зборах на свій розсуд або згідно з завданням щодо голосування, виданим акціонером.</w:t>
      </w:r>
    </w:p>
    <w:p>
      <w:pPr>
        <w:spacing w:after="0" w:line="240" w:lineRule="auto"/>
        <w:ind w:firstLine="567"/>
        <w:jc w:val="both"/>
        <w:rPr>
          <w:rFonts w:ascii="Times New Roman" w:hAnsi="Times New Roman"/>
          <w:bCs/>
          <w:sz w:val="24"/>
          <w:szCs w:val="24"/>
        </w:rPr>
      </w:pPr>
      <w:r>
        <w:rPr>
          <w:rFonts w:ascii="Times New Roman" w:hAnsi="Times New Roman"/>
          <w:bCs/>
          <w:sz w:val="24"/>
          <w:szCs w:val="24"/>
        </w:rPr>
        <w:t>Загальні збори проводяться у відповідності до вимог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що затверджений рішенням НКЦПФР від 16.04.2020 № 196 та іншого діючого законодавства України.</w:t>
      </w:r>
    </w:p>
    <w:p>
      <w:pPr>
        <w:spacing w:after="0" w:line="240" w:lineRule="auto"/>
        <w:ind w:firstLine="567"/>
        <w:jc w:val="both"/>
        <w:rPr>
          <w:rFonts w:ascii="Times New Roman" w:hAnsi="Times New Roman"/>
          <w:sz w:val="24"/>
          <w:szCs w:val="24"/>
        </w:rPr>
      </w:pPr>
      <w:r>
        <w:rPr>
          <w:rFonts w:ascii="Times New Roman" w:hAnsi="Times New Roman"/>
          <w:color w:val="000000"/>
          <w:sz w:val="24"/>
          <w:szCs w:val="24"/>
          <w:shd w:val="clear" w:color="auto" w:fill="FFFFFF"/>
        </w:rPr>
        <w:t xml:space="preserve">Акціонери Товариства та їх уповноважені представники можуть ознайомитися з документами, необхідними для прийняття рішень з питань проекту порядку денного загальних зборів, шляхом ознайомлення з ними на сайті Товариства </w:t>
      </w:r>
      <w:r>
        <w:rPr>
          <w:rStyle w:val="5"/>
          <w:rFonts w:ascii="Times New Roman" w:hAnsi="Times New Roman"/>
          <w:b w:val="0"/>
          <w:bCs w:val="0"/>
          <w:sz w:val="24"/>
          <w:szCs w:val="24"/>
        </w:rPr>
        <w:t>http://www.chergas.ck.ua</w:t>
      </w:r>
      <w:r>
        <w:rPr>
          <w:rFonts w:ascii="Times New Roman" w:hAnsi="Times New Roman"/>
          <w:color w:val="000000"/>
          <w:sz w:val="24"/>
          <w:szCs w:val="24"/>
          <w:shd w:val="clear" w:color="auto" w:fill="FFFFFF"/>
        </w:rPr>
        <w:t>,</w:t>
      </w:r>
      <w:r>
        <w:rPr>
          <w:rFonts w:ascii="Times New Roman" w:hAnsi="Times New Roman"/>
          <w:sz w:val="24"/>
          <w:szCs w:val="24"/>
        </w:rPr>
        <w:t xml:space="preserve"> відповідальна особа – І.М. Стойков, тел. (0472) 317825, e-mail – </w:t>
      </w:r>
      <w:r>
        <w:rPr>
          <w:rFonts w:ascii="Times New Roman" w:hAnsi="Times New Roman"/>
          <w:color w:val="000000"/>
          <w:sz w:val="24"/>
          <w:szCs w:val="24"/>
          <w:shd w:val="clear" w:color="auto" w:fill="FFFFFF"/>
        </w:rPr>
        <w:t>cin_paper@chergas.ck.ua</w:t>
      </w:r>
      <w:r>
        <w:rPr>
          <w:rFonts w:ascii="Times New Roman" w:hAnsi="Times New Roman"/>
          <w:sz w:val="24"/>
          <w:szCs w:val="24"/>
        </w:rPr>
        <w:t>.</w:t>
      </w:r>
    </w:p>
    <w:p>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Акціонерам,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 необхідно укласти договори з депозитарними установами.</w:t>
      </w:r>
    </w:p>
    <w:p>
      <w:pPr>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Бюлетені приймаються виключно до 18-00 дати завершення голосування.</w:t>
      </w:r>
      <w:r>
        <w:t xml:space="preserve"> </w:t>
      </w:r>
      <w:r>
        <w:rPr>
          <w:rFonts w:ascii="Times New Roman" w:hAnsi="Times New Roman"/>
          <w:color w:val="000000"/>
          <w:sz w:val="24"/>
          <w:szCs w:val="24"/>
          <w:shd w:val="clear" w:color="auto" w:fill="FFFFFF"/>
        </w:rPr>
        <w:t>Моментом початку голосування акціонерів є 11-00 год. дати розміщення Товариством бюлетенів для голосування у вільному для акціонерів доступі. Моментом закінчення голосування акціонерів є 18-00 год. дати проведення Загальних зборів Товариства (дати завершення голосування). Бюлетень, отриманий депозитарною установою після завершення часу, відведеного на голосування, вважається таким, що не подавався.</w:t>
      </w:r>
    </w:p>
    <w:p>
      <w:pPr>
        <w:spacing w:after="0" w:line="240" w:lineRule="auto"/>
        <w:ind w:firstLine="567"/>
        <w:jc w:val="both"/>
        <w:rPr>
          <w:rFonts w:ascii="Times New Roman" w:hAnsi="Times New Roman"/>
          <w:sz w:val="24"/>
          <w:szCs w:val="24"/>
        </w:rPr>
      </w:pPr>
      <w:r>
        <w:rPr>
          <w:rFonts w:ascii="Times New Roman" w:hAnsi="Times New Roman"/>
          <w:color w:val="000000"/>
          <w:sz w:val="24"/>
          <w:szCs w:val="24"/>
          <w:shd w:val="clear" w:color="auto" w:fill="FFFFFF"/>
        </w:rPr>
        <w:t xml:space="preserve">Адреса веб-сайту Товариства, на якому розміщується інформація з проектами рішень щодо кожного питань, включеного до проекту порядку денного:  </w:t>
      </w:r>
      <w:r>
        <w:rPr>
          <w:rStyle w:val="5"/>
          <w:rFonts w:ascii="Times New Roman" w:hAnsi="Times New Roman"/>
          <w:b w:val="0"/>
          <w:bCs w:val="0"/>
          <w:sz w:val="24"/>
          <w:szCs w:val="24"/>
        </w:rPr>
        <w:t>http://www.chergas.ck.ua</w:t>
      </w:r>
      <w:r>
        <w:rPr>
          <w:rFonts w:ascii="Times New Roman" w:hAnsi="Times New Roman"/>
          <w:sz w:val="24"/>
          <w:szCs w:val="24"/>
        </w:rPr>
        <w:t>.</w:t>
      </w:r>
    </w:p>
    <w:p>
      <w:pPr>
        <w:spacing w:after="0" w:line="240" w:lineRule="auto"/>
        <w:ind w:firstLine="567"/>
        <w:jc w:val="both"/>
        <w:rPr>
          <w:rStyle w:val="5"/>
          <w:rFonts w:ascii="Times New Roman" w:hAnsi="Times New Roman"/>
          <w:bCs w:val="0"/>
          <w:sz w:val="24"/>
          <w:szCs w:val="24"/>
        </w:rPr>
      </w:pPr>
      <w:r>
        <w:rPr>
          <w:rStyle w:val="5"/>
          <w:rFonts w:ascii="Times New Roman" w:hAnsi="Times New Roman"/>
          <w:b w:val="0"/>
          <w:bCs w:val="0"/>
          <w:sz w:val="24"/>
          <w:szCs w:val="24"/>
        </w:rPr>
        <w:t>Загальна кількість акцій Товариства складає 141 866 317 штук, загальна кількість голосуючих акцій Товариства станом на дату складання переліку осіб, яким надсилається повідомлення про проведення Загальних зборів Товариства, складає 140 866 433 шт.</w:t>
      </w:r>
    </w:p>
    <w:p>
      <w:pPr>
        <w:spacing w:after="0" w:line="240" w:lineRule="auto"/>
        <w:ind w:firstLine="567"/>
        <w:jc w:val="both"/>
        <w:rPr>
          <w:rFonts w:ascii="Times New Roman" w:hAnsi="Times New Roman"/>
          <w:sz w:val="24"/>
          <w:szCs w:val="24"/>
        </w:rPr>
      </w:pPr>
    </w:p>
    <w:p>
      <w:pPr>
        <w:spacing w:after="0" w:line="240" w:lineRule="auto"/>
        <w:ind w:firstLine="567"/>
        <w:jc w:val="both"/>
        <w:rPr>
          <w:rFonts w:ascii="Times New Roman" w:hAnsi="Times New Roman"/>
          <w:sz w:val="24"/>
          <w:szCs w:val="24"/>
        </w:rPr>
      </w:pPr>
      <w:r>
        <w:rPr>
          <w:rFonts w:ascii="Times New Roman" w:hAnsi="Times New Roman"/>
          <w:sz w:val="24"/>
          <w:szCs w:val="24"/>
        </w:rPr>
        <w:t>АТ «ЧЕРКАСИГАЗ»</w:t>
      </w:r>
    </w:p>
    <w:p>
      <w:pPr>
        <w:pageBreakBefore/>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Перелік питань разом з проектами рішень:</w:t>
      </w:r>
    </w:p>
    <w:p>
      <w:pPr>
        <w:spacing w:after="0" w:line="240" w:lineRule="auto"/>
        <w:ind w:firstLine="274"/>
        <w:jc w:val="both"/>
        <w:rPr>
          <w:rFonts w:ascii="Times New Roman" w:hAnsi="Times New Roman"/>
          <w:sz w:val="24"/>
          <w:szCs w:val="24"/>
        </w:rPr>
      </w:pPr>
    </w:p>
    <w:tbl>
      <w:tblPr>
        <w:tblStyle w:val="3"/>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6"/>
        <w:gridCol w:w="4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spacing w:after="0" w:line="240" w:lineRule="auto"/>
              <w:rPr>
                <w:rFonts w:ascii="Times New Roman" w:hAnsi="Times New Roman"/>
                <w:b/>
                <w:sz w:val="24"/>
                <w:szCs w:val="24"/>
              </w:rPr>
            </w:pPr>
            <w:r>
              <w:rPr>
                <w:rFonts w:ascii="Times New Roman" w:hAnsi="Times New Roman"/>
                <w:b/>
                <w:sz w:val="24"/>
                <w:szCs w:val="24"/>
              </w:rPr>
              <w:t>Питання порядку денного позачергових загальних зборів акціонерів</w:t>
            </w:r>
          </w:p>
        </w:tc>
        <w:tc>
          <w:tcPr>
            <w:tcW w:w="4585" w:type="dxa"/>
          </w:tcPr>
          <w:p>
            <w:pPr>
              <w:spacing w:after="0" w:line="240" w:lineRule="auto"/>
              <w:jc w:val="center"/>
              <w:rPr>
                <w:rFonts w:ascii="Times New Roman" w:hAnsi="Times New Roman"/>
                <w:b/>
                <w:sz w:val="24"/>
                <w:szCs w:val="24"/>
              </w:rPr>
            </w:pPr>
            <w:r>
              <w:rPr>
                <w:rFonts w:ascii="Times New Roman" w:hAnsi="Times New Roman"/>
                <w:b/>
                <w:sz w:val="24"/>
                <w:szCs w:val="24"/>
              </w:rPr>
              <w:t>Запропоновані проекти рішень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86" w:type="dxa"/>
          </w:tcPr>
          <w:p>
            <w:pPr>
              <w:spacing w:after="0" w:line="240" w:lineRule="auto"/>
              <w:rPr>
                <w:rFonts w:ascii="Times New Roman" w:hAnsi="Times New Roman"/>
                <w:sz w:val="24"/>
                <w:szCs w:val="24"/>
              </w:rPr>
            </w:pPr>
            <w:r>
              <w:rPr>
                <w:rFonts w:ascii="Times New Roman" w:hAnsi="Times New Roman"/>
                <w:sz w:val="24"/>
                <w:szCs w:val="24"/>
                <w:lang w:eastAsia="ru-RU"/>
              </w:rPr>
              <w:t xml:space="preserve">1. </w:t>
            </w:r>
            <w:r>
              <w:rPr>
                <w:rFonts w:ascii="Times New Roman" w:hAnsi="Times New Roman" w:eastAsia="Times New Roman"/>
                <w:sz w:val="24"/>
                <w:szCs w:val="24"/>
                <w:lang w:eastAsia="ru-RU"/>
              </w:rPr>
              <w:t>Внесення змін до Статуту Товариства шляхом викладення його у новій редакції</w:t>
            </w:r>
          </w:p>
        </w:tc>
        <w:tc>
          <w:tcPr>
            <w:tcW w:w="4585" w:type="dxa"/>
          </w:tcPr>
          <w:p>
            <w:pPr>
              <w:spacing w:after="0" w:line="240" w:lineRule="auto"/>
              <w:jc w:val="both"/>
              <w:rPr>
                <w:rFonts w:ascii="Times New Roman" w:hAnsi="Times New Roman"/>
                <w:sz w:val="24"/>
                <w:szCs w:val="24"/>
              </w:rPr>
            </w:pPr>
            <w:r>
              <w:rPr>
                <w:rFonts w:ascii="Times New Roman" w:hAnsi="Times New Roman"/>
                <w:sz w:val="24"/>
                <w:szCs w:val="24"/>
              </w:rPr>
              <w:t>Внести та затвердити зміни до Статуту Товариства шляхом викладення його в новій редакції.</w:t>
            </w:r>
          </w:p>
          <w:p>
            <w:pPr>
              <w:spacing w:after="0" w:line="240" w:lineRule="auto"/>
              <w:jc w:val="both"/>
              <w:rPr>
                <w:rFonts w:ascii="Times New Roman" w:hAnsi="Times New Roman"/>
                <w:sz w:val="24"/>
                <w:szCs w:val="24"/>
              </w:rPr>
            </w:pPr>
            <w:r>
              <w:rPr>
                <w:rFonts w:ascii="Times New Roman" w:hAnsi="Times New Roman"/>
                <w:sz w:val="24"/>
                <w:szCs w:val="24"/>
              </w:rPr>
              <w:t>Визначити Голову Загальних зборів Товариства особою, яка уповноважується на підписання нової редакції Статуту Товариства.</w:t>
            </w:r>
          </w:p>
          <w:p>
            <w:pPr>
              <w:spacing w:after="0" w:line="240" w:lineRule="auto"/>
              <w:jc w:val="both"/>
              <w:rPr>
                <w:rFonts w:ascii="Times New Roman" w:hAnsi="Times New Roman"/>
                <w:sz w:val="24"/>
                <w:szCs w:val="24"/>
              </w:rPr>
            </w:pPr>
            <w:r>
              <w:rPr>
                <w:rFonts w:ascii="Times New Roman" w:hAnsi="Times New Roman"/>
                <w:sz w:val="24"/>
                <w:szCs w:val="24"/>
                <w:lang w:eastAsia="ru-RU"/>
              </w:rPr>
              <w:t>Доручити Голові Правління Товариства (або особі, що виконує його обов`язки (з правом передоручення іншим особам) здійснити державну реєстрацію Статуту Товариства в новій редакції, затвердженої цими Загальними зборами Товариства.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spacing w:after="0" w:line="240" w:lineRule="auto"/>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eastAsia="Times New Roman"/>
                <w:sz w:val="24"/>
                <w:szCs w:val="24"/>
                <w:lang w:eastAsia="ru-RU"/>
              </w:rPr>
              <w:t>Внесення та затвердження змін до Положення про Загальні збори Товариства шляхом викладення його у новій редакції</w:t>
            </w:r>
          </w:p>
        </w:tc>
        <w:tc>
          <w:tcPr>
            <w:tcW w:w="4585" w:type="dxa"/>
          </w:tcPr>
          <w:p>
            <w:pPr>
              <w:spacing w:after="0" w:line="240" w:lineRule="auto"/>
              <w:jc w:val="both"/>
              <w:rPr>
                <w:rFonts w:ascii="Times New Roman" w:hAnsi="Times New Roman"/>
                <w:sz w:val="24"/>
                <w:szCs w:val="24"/>
              </w:rPr>
            </w:pPr>
            <w:r>
              <w:rPr>
                <w:rFonts w:ascii="Times New Roman" w:hAnsi="Times New Roman"/>
                <w:sz w:val="24"/>
                <w:szCs w:val="24"/>
              </w:rPr>
              <w:t xml:space="preserve">Внести та затвердити зміни до </w:t>
            </w:r>
            <w:r>
              <w:rPr>
                <w:rFonts w:ascii="Times New Roman" w:hAnsi="Times New Roman" w:eastAsia="Times New Roman"/>
                <w:sz w:val="24"/>
                <w:szCs w:val="24"/>
                <w:lang w:eastAsia="ru-RU"/>
              </w:rPr>
              <w:t>Положення про Загальні збори</w:t>
            </w:r>
            <w:r>
              <w:rPr>
                <w:rFonts w:ascii="Times New Roman" w:hAnsi="Times New Roman"/>
                <w:sz w:val="24"/>
                <w:szCs w:val="24"/>
              </w:rPr>
              <w:t xml:space="preserve"> Товариства шляхом викладення його в новій редакції.</w:t>
            </w:r>
          </w:p>
          <w:p>
            <w:pPr>
              <w:spacing w:after="0" w:line="240" w:lineRule="auto"/>
              <w:jc w:val="both"/>
              <w:rPr>
                <w:rFonts w:ascii="Times New Roman" w:hAnsi="Times New Roman"/>
                <w:sz w:val="24"/>
                <w:szCs w:val="24"/>
              </w:rPr>
            </w:pPr>
            <w:r>
              <w:rPr>
                <w:rFonts w:ascii="Times New Roman" w:hAnsi="Times New Roman"/>
                <w:sz w:val="24"/>
                <w:szCs w:val="24"/>
              </w:rPr>
              <w:t xml:space="preserve">Визначити Голову Загальних зборів Товариства особою, яка уповноважується на підписання </w:t>
            </w:r>
            <w:r>
              <w:rPr>
                <w:rFonts w:ascii="Times New Roman" w:hAnsi="Times New Roman" w:eastAsia="Times New Roman"/>
                <w:sz w:val="24"/>
                <w:szCs w:val="24"/>
                <w:lang w:eastAsia="ru-RU"/>
              </w:rPr>
              <w:t>Положення про Загальні збори</w:t>
            </w:r>
            <w:r>
              <w:rPr>
                <w:rFonts w:ascii="Times New Roman" w:hAnsi="Times New Roman"/>
                <w:sz w:val="24"/>
                <w:szCs w:val="24"/>
              </w:rPr>
              <w:t xml:space="preserve"> Товариства у новій редакції.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eastAsia="ru-RU"/>
              </w:rPr>
              <w:t xml:space="preserve"> </w:t>
            </w:r>
            <w:r>
              <w:rPr>
                <w:rFonts w:ascii="Times New Roman" w:hAnsi="Times New Roman" w:eastAsia="Times New Roman"/>
                <w:sz w:val="24"/>
                <w:szCs w:val="24"/>
                <w:lang w:eastAsia="ru-RU"/>
              </w:rPr>
              <w:t>Внесення та затвердження змін до Положення про Наглядову раду Товариства шляхом викладення його у новій редакції</w:t>
            </w:r>
          </w:p>
        </w:tc>
        <w:tc>
          <w:tcPr>
            <w:tcW w:w="4585" w:type="dxa"/>
          </w:tcPr>
          <w:p>
            <w:pPr>
              <w:spacing w:after="0" w:line="240" w:lineRule="auto"/>
              <w:jc w:val="both"/>
              <w:rPr>
                <w:rFonts w:ascii="Times New Roman" w:hAnsi="Times New Roman"/>
                <w:sz w:val="24"/>
                <w:szCs w:val="24"/>
              </w:rPr>
            </w:pPr>
            <w:r>
              <w:rPr>
                <w:rFonts w:ascii="Times New Roman" w:hAnsi="Times New Roman"/>
                <w:sz w:val="24"/>
                <w:szCs w:val="24"/>
              </w:rPr>
              <w:t xml:space="preserve">Внести та затвердити зміни до </w:t>
            </w:r>
            <w:r>
              <w:rPr>
                <w:rFonts w:ascii="Times New Roman" w:hAnsi="Times New Roman" w:eastAsia="Times New Roman"/>
                <w:sz w:val="24"/>
                <w:szCs w:val="24"/>
                <w:lang w:eastAsia="ru-RU"/>
              </w:rPr>
              <w:t>Положення про Наглядову раду</w:t>
            </w:r>
            <w:r>
              <w:rPr>
                <w:rFonts w:ascii="Times New Roman" w:hAnsi="Times New Roman"/>
                <w:sz w:val="24"/>
                <w:szCs w:val="24"/>
              </w:rPr>
              <w:t xml:space="preserve"> Товариства шляхом викладення його в новій редакції.</w:t>
            </w:r>
          </w:p>
          <w:p>
            <w:pPr>
              <w:spacing w:after="0" w:line="240" w:lineRule="auto"/>
              <w:rPr>
                <w:rFonts w:ascii="Times New Roman" w:hAnsi="Times New Roman"/>
                <w:sz w:val="24"/>
                <w:szCs w:val="24"/>
              </w:rPr>
            </w:pPr>
            <w:r>
              <w:rPr>
                <w:rFonts w:ascii="Times New Roman" w:hAnsi="Times New Roman"/>
                <w:sz w:val="24"/>
                <w:szCs w:val="24"/>
              </w:rPr>
              <w:t xml:space="preserve">Визначити Голову Загальних зборів Товариства особою, яка уповноважується на підписання </w:t>
            </w:r>
            <w:r>
              <w:rPr>
                <w:rFonts w:ascii="Times New Roman" w:hAnsi="Times New Roman" w:eastAsia="Times New Roman"/>
                <w:sz w:val="24"/>
                <w:szCs w:val="24"/>
                <w:lang w:eastAsia="ru-RU"/>
              </w:rPr>
              <w:t>Положення про Наглядову раду</w:t>
            </w:r>
            <w:r>
              <w:rPr>
                <w:rFonts w:ascii="Times New Roman" w:hAnsi="Times New Roman"/>
                <w:sz w:val="24"/>
                <w:szCs w:val="24"/>
              </w:rPr>
              <w:t xml:space="preserve"> Товариства у новій редакції.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eastAsia="Times New Roman"/>
                <w:sz w:val="24"/>
                <w:szCs w:val="24"/>
                <w:lang w:eastAsia="ru-RU"/>
              </w:rPr>
              <w:t>Внесення та затвердження змін до Положення про Ревізійну комісію Товариства шляхом викладення його у новій редакції</w:t>
            </w:r>
            <w:r>
              <w:rPr>
                <w:rFonts w:ascii="Times New Roman" w:hAnsi="Times New Roman"/>
                <w:sz w:val="24"/>
                <w:szCs w:val="24"/>
                <w:lang w:eastAsia="ru-RU"/>
              </w:rPr>
              <w:t>.</w:t>
            </w:r>
          </w:p>
        </w:tc>
        <w:tc>
          <w:tcPr>
            <w:tcW w:w="4585" w:type="dxa"/>
          </w:tcPr>
          <w:p>
            <w:pPr>
              <w:spacing w:after="0" w:line="240" w:lineRule="auto"/>
              <w:jc w:val="both"/>
              <w:rPr>
                <w:rFonts w:ascii="Times New Roman" w:hAnsi="Times New Roman"/>
                <w:sz w:val="24"/>
                <w:szCs w:val="24"/>
              </w:rPr>
            </w:pPr>
            <w:r>
              <w:rPr>
                <w:rFonts w:ascii="Times New Roman" w:hAnsi="Times New Roman"/>
                <w:sz w:val="24"/>
                <w:szCs w:val="24"/>
              </w:rPr>
              <w:t xml:space="preserve">Внести та затвердити зміни до </w:t>
            </w:r>
            <w:r>
              <w:rPr>
                <w:rFonts w:ascii="Times New Roman" w:hAnsi="Times New Roman" w:eastAsia="Times New Roman"/>
                <w:sz w:val="24"/>
                <w:szCs w:val="24"/>
                <w:lang w:eastAsia="ru-RU"/>
              </w:rPr>
              <w:t>Положення про Ревізійну комісію</w:t>
            </w:r>
            <w:r>
              <w:rPr>
                <w:rFonts w:ascii="Times New Roman" w:hAnsi="Times New Roman"/>
                <w:sz w:val="24"/>
                <w:szCs w:val="24"/>
              </w:rPr>
              <w:t xml:space="preserve"> Товариства шляхом викладення його в новій редакції.</w:t>
            </w:r>
          </w:p>
          <w:p>
            <w:pPr>
              <w:spacing w:after="0" w:line="240" w:lineRule="auto"/>
              <w:jc w:val="both"/>
              <w:rPr>
                <w:rFonts w:ascii="Times New Roman" w:hAnsi="Times New Roman"/>
                <w:sz w:val="24"/>
                <w:szCs w:val="24"/>
              </w:rPr>
            </w:pPr>
            <w:r>
              <w:rPr>
                <w:rFonts w:ascii="Times New Roman" w:hAnsi="Times New Roman"/>
                <w:sz w:val="24"/>
                <w:szCs w:val="24"/>
              </w:rPr>
              <w:t xml:space="preserve">Визначити Голову Загальних зборів Товариства особою, яка уповноважується на підписання </w:t>
            </w:r>
            <w:r>
              <w:rPr>
                <w:rFonts w:ascii="Times New Roman" w:hAnsi="Times New Roman" w:eastAsia="Times New Roman"/>
                <w:sz w:val="24"/>
                <w:szCs w:val="24"/>
                <w:lang w:eastAsia="ru-RU"/>
              </w:rPr>
              <w:t>Положення про Ревізійну комісію</w:t>
            </w:r>
            <w:r>
              <w:rPr>
                <w:rFonts w:ascii="Times New Roman" w:hAnsi="Times New Roman"/>
                <w:sz w:val="24"/>
                <w:szCs w:val="24"/>
              </w:rPr>
              <w:t xml:space="preserve"> Товариства у новій редакції.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spacing w:after="0" w:line="240" w:lineRule="auto"/>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eastAsia="Times New Roman"/>
                <w:sz w:val="24"/>
                <w:szCs w:val="24"/>
                <w:lang w:eastAsia="ru-RU"/>
              </w:rPr>
              <w:t>Внесення та затвердження змін до Положення про Правління Товариства шляхом викладення його у новій редакції</w:t>
            </w:r>
          </w:p>
        </w:tc>
        <w:tc>
          <w:tcPr>
            <w:tcW w:w="4585" w:type="dxa"/>
          </w:tcPr>
          <w:p>
            <w:pPr>
              <w:spacing w:after="0" w:line="240" w:lineRule="auto"/>
              <w:jc w:val="both"/>
              <w:rPr>
                <w:rFonts w:ascii="Times New Roman" w:hAnsi="Times New Roman"/>
                <w:sz w:val="24"/>
                <w:szCs w:val="24"/>
              </w:rPr>
            </w:pPr>
            <w:r>
              <w:rPr>
                <w:rFonts w:ascii="Times New Roman" w:hAnsi="Times New Roman"/>
                <w:sz w:val="24"/>
                <w:szCs w:val="24"/>
              </w:rPr>
              <w:t xml:space="preserve">Внести та затвердити зміни до </w:t>
            </w:r>
            <w:r>
              <w:rPr>
                <w:rFonts w:ascii="Times New Roman" w:hAnsi="Times New Roman" w:eastAsia="Times New Roman"/>
                <w:sz w:val="24"/>
                <w:szCs w:val="24"/>
                <w:lang w:eastAsia="ru-RU"/>
              </w:rPr>
              <w:t>Положення про Правління</w:t>
            </w:r>
            <w:r>
              <w:rPr>
                <w:rFonts w:ascii="Times New Roman" w:hAnsi="Times New Roman"/>
                <w:sz w:val="24"/>
                <w:szCs w:val="24"/>
              </w:rPr>
              <w:t xml:space="preserve"> Товариства шляхом викладення його в новій редакції.</w:t>
            </w:r>
          </w:p>
          <w:p>
            <w:pPr>
              <w:spacing w:after="0" w:line="240" w:lineRule="auto"/>
              <w:jc w:val="both"/>
              <w:rPr>
                <w:rFonts w:ascii="Times New Roman" w:hAnsi="Times New Roman"/>
                <w:sz w:val="24"/>
                <w:szCs w:val="24"/>
              </w:rPr>
            </w:pPr>
            <w:r>
              <w:rPr>
                <w:rFonts w:ascii="Times New Roman" w:hAnsi="Times New Roman"/>
                <w:sz w:val="24"/>
                <w:szCs w:val="24"/>
              </w:rPr>
              <w:t xml:space="preserve">Визначити Голову Загальних зборів Товариства особою, яка уповноважується на підписання </w:t>
            </w:r>
            <w:r>
              <w:rPr>
                <w:rFonts w:ascii="Times New Roman" w:hAnsi="Times New Roman" w:eastAsia="Times New Roman"/>
                <w:sz w:val="24"/>
                <w:szCs w:val="24"/>
                <w:lang w:eastAsia="ru-RU"/>
              </w:rPr>
              <w:t>Положення про Правління</w:t>
            </w:r>
            <w:r>
              <w:rPr>
                <w:rFonts w:ascii="Times New Roman" w:hAnsi="Times New Roman"/>
                <w:sz w:val="24"/>
                <w:szCs w:val="24"/>
              </w:rPr>
              <w:t xml:space="preserve"> Товариства у новій редакції</w:t>
            </w:r>
            <w:r>
              <w:rPr>
                <w:rFonts w:ascii="Times New Roman" w:hAnsi="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spacing w:after="0" w:line="240" w:lineRule="auto"/>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eastAsia="Times New Roman"/>
                <w:sz w:val="24"/>
                <w:szCs w:val="24"/>
                <w:lang w:eastAsia="ru-RU"/>
              </w:rPr>
              <w:t>Припинення повноважень Голови та Членів Наглядової ради Товариства.</w:t>
            </w:r>
          </w:p>
        </w:tc>
        <w:tc>
          <w:tcPr>
            <w:tcW w:w="4585" w:type="dxa"/>
          </w:tcPr>
          <w:p>
            <w:pPr>
              <w:spacing w:after="0" w:line="240" w:lineRule="auto"/>
              <w:jc w:val="both"/>
              <w:rPr>
                <w:rFonts w:ascii="Times New Roman" w:hAnsi="Times New Roman"/>
                <w:sz w:val="24"/>
                <w:szCs w:val="24"/>
              </w:rPr>
            </w:pPr>
            <w:r>
              <w:rPr>
                <w:rFonts w:ascii="Times New Roman" w:hAnsi="Times New Roman" w:eastAsia="Times New Roman"/>
                <w:sz w:val="24"/>
                <w:szCs w:val="24"/>
                <w:lang w:eastAsia="ru-RU"/>
              </w:rPr>
              <w:t>Припинити повноваження Голови та Членів Наглядової ради Товариства з дати прийняття цього рішення</w:t>
            </w:r>
            <w:r>
              <w:rPr>
                <w:rFonts w:ascii="Times New Roman" w:hAnsi="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spacing w:after="0" w:line="240" w:lineRule="auto"/>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eastAsia="Times New Roman"/>
                <w:sz w:val="24"/>
                <w:szCs w:val="24"/>
                <w:lang w:eastAsia="ru-RU"/>
              </w:rPr>
              <w:t>Обрання членів Наглядової ради Товариства</w:t>
            </w:r>
          </w:p>
        </w:tc>
        <w:tc>
          <w:tcPr>
            <w:tcW w:w="4585" w:type="dxa"/>
          </w:tcPr>
          <w:p>
            <w:pPr>
              <w:spacing w:after="0" w:line="240" w:lineRule="auto"/>
              <w:jc w:val="both"/>
              <w:rPr>
                <w:rFonts w:ascii="Times New Roman" w:hAnsi="Times New Roman"/>
                <w:sz w:val="24"/>
                <w:szCs w:val="24"/>
              </w:rPr>
            </w:pPr>
            <w:r>
              <w:rPr>
                <w:rFonts w:ascii="Times New Roman" w:hAnsi="Times New Roman"/>
                <w:sz w:val="24"/>
                <w:szCs w:val="24"/>
              </w:rPr>
              <w:t>Обрання членів Наглядової ради Товариства здійснюватиметься шляхом кумулятивного голосування відповідно до пропозицій акціонерів.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spacing w:after="0" w:line="240" w:lineRule="auto"/>
              <w:contextualSpacing/>
              <w:rPr>
                <w:rFonts w:ascii="Times New Roman" w:hAnsi="Times New Roman" w:eastAsia="Times New Roman"/>
                <w:sz w:val="24"/>
                <w:szCs w:val="24"/>
                <w:lang w:eastAsia="ru-RU"/>
              </w:rPr>
            </w:pPr>
            <w:r>
              <w:rPr>
                <w:rFonts w:ascii="Times New Roman" w:hAnsi="Times New Roman"/>
                <w:sz w:val="24"/>
                <w:szCs w:val="24"/>
              </w:rPr>
              <w:t xml:space="preserve">8. </w:t>
            </w:r>
            <w:r>
              <w:rPr>
                <w:rFonts w:ascii="Times New Roman" w:hAnsi="Times New Roman" w:eastAsia="Times New Roman"/>
                <w:sz w:val="24"/>
                <w:szCs w:val="24"/>
                <w:lang w:eastAsia="ru-RU"/>
              </w:rPr>
              <w:t>Затвердження умов цивільно-правових договорів з членами Наглядової ради Товариства, встановлення розміру їх винагороди, обрання особи, яка уповноважується на підписання цивільно-правових договорів з членами Наглядової ради Товариства.</w:t>
            </w:r>
          </w:p>
        </w:tc>
        <w:tc>
          <w:tcPr>
            <w:tcW w:w="4585" w:type="dxa"/>
          </w:tcPr>
          <w:p>
            <w:pPr>
              <w:spacing w:after="0" w:line="240" w:lineRule="auto"/>
              <w:jc w:val="both"/>
              <w:rPr>
                <w:rFonts w:ascii="Times New Roman" w:hAnsi="Times New Roman"/>
                <w:sz w:val="24"/>
                <w:szCs w:val="24"/>
              </w:rPr>
            </w:pPr>
            <w:r>
              <w:rPr>
                <w:rFonts w:ascii="Times New Roman" w:hAnsi="Times New Roman"/>
                <w:sz w:val="24"/>
                <w:szCs w:val="24"/>
                <w:lang w:eastAsia="ru-RU"/>
              </w:rPr>
              <w:t>Затвердити умови цивільно-правових договорів, що укладатимуться з Головою та членами Наглядової ради Товариства. Уповноважити Голову Правління (або особу яка здійснює повноваження (виконує обов`язки) Голови Правління) протягом одного місяця з дати прийняття цього рішення підписати від імені Товариства цивільно-правові договори з Головою та членами Наглядової ради Товариства, умови яких затверджено Загальними зборами Товариства.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spacing w:after="0" w:line="240" w:lineRule="auto"/>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eastAsia="Times New Roman"/>
                <w:sz w:val="24"/>
                <w:szCs w:val="24"/>
                <w:lang w:eastAsia="ru-RU"/>
              </w:rPr>
              <w:t>Припинення повноважень Голови та Членів Ревізійної комісії Товариства</w:t>
            </w:r>
            <w:r>
              <w:rPr>
                <w:rFonts w:ascii="Times New Roman" w:hAnsi="Times New Roman"/>
                <w:sz w:val="24"/>
                <w:szCs w:val="24"/>
                <w:lang w:eastAsia="ru-RU"/>
              </w:rPr>
              <w:t>.</w:t>
            </w:r>
          </w:p>
        </w:tc>
        <w:tc>
          <w:tcPr>
            <w:tcW w:w="4585" w:type="dxa"/>
          </w:tcPr>
          <w:p>
            <w:pPr>
              <w:spacing w:after="0" w:line="240" w:lineRule="auto"/>
              <w:jc w:val="both"/>
              <w:rPr>
                <w:rFonts w:ascii="Times New Roman" w:hAnsi="Times New Roman"/>
                <w:sz w:val="24"/>
                <w:szCs w:val="24"/>
              </w:rPr>
            </w:pPr>
            <w:r>
              <w:rPr>
                <w:rFonts w:ascii="Times New Roman" w:hAnsi="Times New Roman"/>
                <w:sz w:val="24"/>
                <w:szCs w:val="24"/>
              </w:rPr>
              <w:t>Припинити повноваження Голови та членів Ревізійної комісії Товариства з дати прийняття цього рішення.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eastAsia="ru-RU"/>
              </w:rPr>
              <w:t xml:space="preserve"> </w:t>
            </w:r>
            <w:r>
              <w:rPr>
                <w:rFonts w:ascii="Times New Roman" w:hAnsi="Times New Roman" w:eastAsia="Times New Roman"/>
                <w:sz w:val="24"/>
                <w:szCs w:val="24"/>
                <w:lang w:eastAsia="ru-RU"/>
              </w:rPr>
              <w:t>Обрання членів Ревізійної комісії Товариства</w:t>
            </w:r>
          </w:p>
        </w:tc>
        <w:tc>
          <w:tcPr>
            <w:tcW w:w="4585" w:type="dxa"/>
          </w:tcPr>
          <w:p>
            <w:pPr>
              <w:spacing w:after="0" w:line="240" w:lineRule="auto"/>
              <w:jc w:val="both"/>
              <w:rPr>
                <w:rFonts w:ascii="Times New Roman" w:hAnsi="Times New Roman"/>
                <w:sz w:val="24"/>
                <w:szCs w:val="24"/>
              </w:rPr>
            </w:pPr>
            <w:r>
              <w:rPr>
                <w:rFonts w:ascii="Times New Roman" w:hAnsi="Times New Roman"/>
                <w:sz w:val="24"/>
                <w:szCs w:val="24"/>
              </w:rPr>
              <w:t>Обрання членів Ревізійної комісії Товариства здійснюватиметься шляхом кумулятивного голосування відповідно до пропозицій акціонерів.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6" w:type="dxa"/>
          </w:tcPr>
          <w:p>
            <w:pPr>
              <w:spacing w:after="0" w:line="240" w:lineRule="auto"/>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eastAsia="Times New Roman"/>
                <w:sz w:val="24"/>
                <w:szCs w:val="24"/>
                <w:lang w:eastAsia="ru-RU"/>
              </w:rPr>
              <w:t>Затвердження умов цивільно-правових договорів з членами Ревізійної комісії</w:t>
            </w:r>
          </w:p>
        </w:tc>
        <w:tc>
          <w:tcPr>
            <w:tcW w:w="4585" w:type="dxa"/>
          </w:tcPr>
          <w:p>
            <w:pPr>
              <w:spacing w:after="0" w:line="240" w:lineRule="auto"/>
              <w:jc w:val="both"/>
              <w:rPr>
                <w:rFonts w:ascii="Times New Roman" w:hAnsi="Times New Roman"/>
                <w:sz w:val="24"/>
                <w:szCs w:val="24"/>
              </w:rPr>
            </w:pPr>
            <w:r>
              <w:rPr>
                <w:rFonts w:ascii="Times New Roman" w:hAnsi="Times New Roman"/>
                <w:sz w:val="24"/>
                <w:szCs w:val="24"/>
                <w:lang w:eastAsia="ru-RU"/>
              </w:rPr>
              <w:t>Затвердити умови цивільно-правових договорів, що укладатимуться з Головою та членами Ревізійної комісії. Уповноважити Голову Правління (або особу яка здійснює повноваження (виконує обов`язки) Голови Правління) протягом одного місяця з дати прийняття цього рішення підписати від імені Товариства цивільно-правові договори з Головою та членами Ревізійної комісії Товариства, умови яких затверджено Загальними зборами акціонерів Товариства.</w:t>
            </w:r>
          </w:p>
        </w:tc>
      </w:tr>
    </w:tbl>
    <w:p>
      <w:pPr>
        <w:spacing w:after="0" w:line="240" w:lineRule="auto"/>
        <w:ind w:firstLine="708"/>
        <w:rPr>
          <w:rFonts w:ascii="Times New Roman" w:hAnsi="Times New Roman"/>
          <w:sz w:val="24"/>
          <w:szCs w:val="24"/>
        </w:rPr>
      </w:pPr>
    </w:p>
    <w:p>
      <w:pPr>
        <w:spacing w:after="0" w:line="240" w:lineRule="auto"/>
        <w:ind w:firstLine="708"/>
        <w:rPr>
          <w:rFonts w:ascii="Times New Roman" w:hAnsi="Times New Roman"/>
          <w:sz w:val="24"/>
          <w:szCs w:val="24"/>
        </w:rPr>
      </w:pPr>
    </w:p>
    <w:p>
      <w:pPr>
        <w:spacing w:after="0" w:line="240" w:lineRule="auto"/>
        <w:ind w:firstLine="708"/>
        <w:rPr>
          <w:rFonts w:ascii="Times New Roman" w:hAnsi="Times New Roman"/>
          <w:sz w:val="24"/>
          <w:szCs w:val="24"/>
        </w:rPr>
      </w:pPr>
    </w:p>
    <w:p>
      <w:pPr>
        <w:spacing w:after="0" w:line="240" w:lineRule="auto"/>
        <w:ind w:firstLine="708"/>
        <w:rPr>
          <w:rFonts w:ascii="Times New Roman" w:hAnsi="Times New Roman"/>
          <w:sz w:val="24"/>
          <w:szCs w:val="24"/>
        </w:rPr>
      </w:pPr>
      <w:r>
        <w:rPr>
          <w:rFonts w:ascii="Times New Roman" w:hAnsi="Times New Roman"/>
          <w:sz w:val="24"/>
          <w:szCs w:val="24"/>
        </w:rPr>
        <w:t>Голова Правління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Іван СТОЙКОВ</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5D"/>
    <w:rsid w:val="000236CF"/>
    <w:rsid w:val="000414B9"/>
    <w:rsid w:val="0006643E"/>
    <w:rsid w:val="00070543"/>
    <w:rsid w:val="0008756E"/>
    <w:rsid w:val="000939A7"/>
    <w:rsid w:val="000A5A20"/>
    <w:rsid w:val="00105AFE"/>
    <w:rsid w:val="00117195"/>
    <w:rsid w:val="00144AD9"/>
    <w:rsid w:val="001476C5"/>
    <w:rsid w:val="00147C8A"/>
    <w:rsid w:val="00150A5C"/>
    <w:rsid w:val="00155826"/>
    <w:rsid w:val="0015619A"/>
    <w:rsid w:val="00167253"/>
    <w:rsid w:val="00174C57"/>
    <w:rsid w:val="00176194"/>
    <w:rsid w:val="001838E3"/>
    <w:rsid w:val="001B5B61"/>
    <w:rsid w:val="001C4C5A"/>
    <w:rsid w:val="001D3F35"/>
    <w:rsid w:val="001E4752"/>
    <w:rsid w:val="001F375F"/>
    <w:rsid w:val="001F515D"/>
    <w:rsid w:val="00201DAE"/>
    <w:rsid w:val="002235A6"/>
    <w:rsid w:val="002454D8"/>
    <w:rsid w:val="00251E19"/>
    <w:rsid w:val="00253D36"/>
    <w:rsid w:val="00262F3E"/>
    <w:rsid w:val="002F7BDD"/>
    <w:rsid w:val="003079B9"/>
    <w:rsid w:val="0032740A"/>
    <w:rsid w:val="00333E6C"/>
    <w:rsid w:val="00354801"/>
    <w:rsid w:val="00366519"/>
    <w:rsid w:val="00394452"/>
    <w:rsid w:val="003A6A02"/>
    <w:rsid w:val="00423B60"/>
    <w:rsid w:val="004335C9"/>
    <w:rsid w:val="00446BC8"/>
    <w:rsid w:val="00456BB5"/>
    <w:rsid w:val="00456E11"/>
    <w:rsid w:val="00475AED"/>
    <w:rsid w:val="00485041"/>
    <w:rsid w:val="004A16A5"/>
    <w:rsid w:val="004B2F85"/>
    <w:rsid w:val="004F4C5F"/>
    <w:rsid w:val="00536314"/>
    <w:rsid w:val="005372CF"/>
    <w:rsid w:val="005616A0"/>
    <w:rsid w:val="00581A12"/>
    <w:rsid w:val="00585359"/>
    <w:rsid w:val="005A4785"/>
    <w:rsid w:val="005E726D"/>
    <w:rsid w:val="00613079"/>
    <w:rsid w:val="00616942"/>
    <w:rsid w:val="00642AFC"/>
    <w:rsid w:val="006454BA"/>
    <w:rsid w:val="00651342"/>
    <w:rsid w:val="006652A3"/>
    <w:rsid w:val="006F48B6"/>
    <w:rsid w:val="006F6E7F"/>
    <w:rsid w:val="0074093F"/>
    <w:rsid w:val="007443D2"/>
    <w:rsid w:val="00750A2D"/>
    <w:rsid w:val="00782CBA"/>
    <w:rsid w:val="00791651"/>
    <w:rsid w:val="007B5CB8"/>
    <w:rsid w:val="007B6279"/>
    <w:rsid w:val="007D4FF7"/>
    <w:rsid w:val="007D7F2A"/>
    <w:rsid w:val="007E528A"/>
    <w:rsid w:val="00802F6A"/>
    <w:rsid w:val="00803088"/>
    <w:rsid w:val="008033DA"/>
    <w:rsid w:val="00803861"/>
    <w:rsid w:val="008051B7"/>
    <w:rsid w:val="00852527"/>
    <w:rsid w:val="00866969"/>
    <w:rsid w:val="00882E80"/>
    <w:rsid w:val="0089122E"/>
    <w:rsid w:val="008A770F"/>
    <w:rsid w:val="008B33CB"/>
    <w:rsid w:val="008F0D69"/>
    <w:rsid w:val="008F23AE"/>
    <w:rsid w:val="009056A8"/>
    <w:rsid w:val="009405EB"/>
    <w:rsid w:val="00941082"/>
    <w:rsid w:val="00964D0E"/>
    <w:rsid w:val="00974188"/>
    <w:rsid w:val="0098473C"/>
    <w:rsid w:val="009947FC"/>
    <w:rsid w:val="009B4C80"/>
    <w:rsid w:val="009E7CE5"/>
    <w:rsid w:val="009F5253"/>
    <w:rsid w:val="00A06186"/>
    <w:rsid w:val="00A35260"/>
    <w:rsid w:val="00A52548"/>
    <w:rsid w:val="00A75FA0"/>
    <w:rsid w:val="00A833DB"/>
    <w:rsid w:val="00A9193E"/>
    <w:rsid w:val="00A91ACC"/>
    <w:rsid w:val="00A95D56"/>
    <w:rsid w:val="00AA2B98"/>
    <w:rsid w:val="00AB0A5B"/>
    <w:rsid w:val="00AC004C"/>
    <w:rsid w:val="00AD2944"/>
    <w:rsid w:val="00AE65E2"/>
    <w:rsid w:val="00AF05BF"/>
    <w:rsid w:val="00B03181"/>
    <w:rsid w:val="00B245EA"/>
    <w:rsid w:val="00B26081"/>
    <w:rsid w:val="00B26F66"/>
    <w:rsid w:val="00B47865"/>
    <w:rsid w:val="00B6084E"/>
    <w:rsid w:val="00B8101C"/>
    <w:rsid w:val="00B87A20"/>
    <w:rsid w:val="00B95792"/>
    <w:rsid w:val="00BE5253"/>
    <w:rsid w:val="00BE7FAF"/>
    <w:rsid w:val="00C177FA"/>
    <w:rsid w:val="00C22464"/>
    <w:rsid w:val="00C521A4"/>
    <w:rsid w:val="00C70B85"/>
    <w:rsid w:val="00C95711"/>
    <w:rsid w:val="00C96005"/>
    <w:rsid w:val="00CC3980"/>
    <w:rsid w:val="00CD2EBD"/>
    <w:rsid w:val="00D018A2"/>
    <w:rsid w:val="00D035D8"/>
    <w:rsid w:val="00D22E65"/>
    <w:rsid w:val="00D304D3"/>
    <w:rsid w:val="00D310D7"/>
    <w:rsid w:val="00D62D4C"/>
    <w:rsid w:val="00DA4479"/>
    <w:rsid w:val="00DA5FFA"/>
    <w:rsid w:val="00DC6A4E"/>
    <w:rsid w:val="00DE1CFC"/>
    <w:rsid w:val="00DF58D6"/>
    <w:rsid w:val="00E2041B"/>
    <w:rsid w:val="00E25B38"/>
    <w:rsid w:val="00E560E8"/>
    <w:rsid w:val="00EB12F3"/>
    <w:rsid w:val="00EC2BC0"/>
    <w:rsid w:val="00EE2CE8"/>
    <w:rsid w:val="00F43A03"/>
    <w:rsid w:val="00F511FB"/>
    <w:rsid w:val="00F64FE6"/>
    <w:rsid w:val="00F813C6"/>
    <w:rsid w:val="00F83FCE"/>
    <w:rsid w:val="00F91450"/>
    <w:rsid w:val="00FA2A22"/>
    <w:rsid w:val="2608677D"/>
    <w:rsid w:val="571C31A5"/>
    <w:rsid w:val="5E075E77"/>
    <w:rsid w:val="6BBB6BC7"/>
    <w:rsid w:val="7D9E66F7"/>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Calibri" w:hAnsi="Calibri" w:eastAsia="Calibri" w:cs="Times New Roman"/>
      <w:sz w:val="22"/>
      <w:szCs w:val="22"/>
      <w:lang w:val="uk-UA"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semiHidden/>
    <w:qFormat/>
    <w:uiPriority w:val="99"/>
    <w:rPr>
      <w:rFonts w:cs="Times New Roman"/>
      <w:color w:val="0000FF"/>
      <w:u w:val="single"/>
    </w:rPr>
  </w:style>
  <w:style w:type="character" w:styleId="5">
    <w:name w:val="Strong"/>
    <w:qFormat/>
    <w:locked/>
    <w:uiPriority w:val="99"/>
    <w:rPr>
      <w:b/>
      <w:bCs/>
    </w:rPr>
  </w:style>
  <w:style w:type="paragraph" w:styleId="6">
    <w:name w:val="Balloon Text"/>
    <w:basedOn w:val="1"/>
    <w:link w:val="10"/>
    <w:semiHidden/>
    <w:qFormat/>
    <w:uiPriority w:val="99"/>
    <w:pPr>
      <w:spacing w:after="0" w:line="240" w:lineRule="auto"/>
    </w:pPr>
    <w:rPr>
      <w:rFonts w:ascii="Segoe UI" w:hAnsi="Segoe UI"/>
      <w:sz w:val="18"/>
      <w:szCs w:val="18"/>
      <w:lang w:eastAsia="ru-RU"/>
    </w:rPr>
  </w:style>
  <w:style w:type="table" w:styleId="7">
    <w:name w:val="Table Grid"/>
    <w:basedOn w:val="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Без интервала1"/>
    <w:qFormat/>
    <w:uiPriority w:val="99"/>
    <w:rPr>
      <w:rFonts w:ascii="Calibri" w:hAnsi="Calibri" w:eastAsia="Times New Roman" w:cs="Times New Roman"/>
      <w:sz w:val="22"/>
      <w:szCs w:val="22"/>
      <w:lang w:val="uk-UA" w:eastAsia="uk-UA" w:bidi="ar-SA"/>
    </w:rPr>
  </w:style>
  <w:style w:type="paragraph" w:styleId="9">
    <w:name w:val="List Paragraph"/>
    <w:basedOn w:val="1"/>
    <w:qFormat/>
    <w:uiPriority w:val="99"/>
    <w:pPr>
      <w:ind w:left="720"/>
    </w:pPr>
  </w:style>
  <w:style w:type="character" w:customStyle="1" w:styleId="10">
    <w:name w:val="Текст у виносці Знак"/>
    <w:link w:val="6"/>
    <w:semiHidden/>
    <w:qFormat/>
    <w:locked/>
    <w:uiPriority w:val="99"/>
    <w:rPr>
      <w:rFonts w:ascii="Segoe UI" w:hAnsi="Segoe UI"/>
      <w:sz w:val="18"/>
      <w:lang w:val="uk-UA"/>
    </w:rPr>
  </w:style>
  <w:style w:type="paragraph" w:customStyle="1" w:styleId="11">
    <w:name w:val="Обычный1"/>
    <w:qFormat/>
    <w:uiPriority w:val="99"/>
    <w:rPr>
      <w:rFonts w:ascii="Calibri" w:hAnsi="Calibri" w:eastAsia="Times New Roman" w:cs="Calibri"/>
      <w:color w:val="000000"/>
      <w:lang w:val="uk-UA" w:eastAsia="uk-U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98341-8135-4CA7-B7C9-53EACA9882E9}">
  <ds:schemaRefs/>
</ds:datastoreItem>
</file>

<file path=docProps/app.xml><?xml version="1.0" encoding="utf-8"?>
<Properties xmlns="http://schemas.openxmlformats.org/officeDocument/2006/extended-properties" xmlns:vt="http://schemas.openxmlformats.org/officeDocument/2006/docPropsVTypes">
  <Template>Normal</Template>
  <Company>Емкон</Company>
  <Pages>6</Pages>
  <Words>1992</Words>
  <Characters>14054</Characters>
  <Lines>117</Lines>
  <Paragraphs>32</Paragraphs>
  <TotalTime>132</TotalTime>
  <ScaleCrop>false</ScaleCrop>
  <LinksUpToDate>false</LinksUpToDate>
  <CharactersWithSpaces>16014</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2022-11-07T12:51:00Z</dcterms:created>
  <dc:creator>Boss</dc:creator>
  <cp:lastModifiedBy>july_sh</cp:lastModifiedBy>
  <cp:lastPrinted>2022-11-07T15:47:00Z</cp:lastPrinted>
  <dcterms:modified xsi:type="dcterms:W3CDTF">2022-11-09T13:36:44Z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4311C5EB98A244DFAE9E29E004D4F375</vt:lpwstr>
  </property>
</Properties>
</file>